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5900" w:right="0"/>
        <w:jc w:val="left"/>
      </w:pPr>
      <w:r>
        <w:rPr>
          <w:b w:val="0"/>
          <w:bCs w:val="0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Додаток 3 до </w:t>
      </w:r>
      <w:r>
        <w:rPr>
          <w:b w:val="0"/>
          <w:bCs w:val="0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рішення Саф'янівської сільсько </w:t>
      </w:r>
      <w:r>
        <w:rPr>
          <w:b w:val="0"/>
          <w:bCs w:val="0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ради </w:t>
      </w:r>
      <w:r>
        <w:rPr>
          <w:b w:val="0"/>
          <w:bCs w:val="0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 xml:space="preserve">від </w:t>
      </w:r>
      <w:r>
        <w:rPr>
          <w:b w:val="0"/>
          <w:bCs w:val="0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08.04. 2021 № </w:t>
      </w:r>
      <w:r>
        <w:rPr>
          <w:b w:val="0"/>
          <w:bCs w:val="0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  <w:t>368-VII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354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ПЕРЕЛІК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188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адміністративних послуг, які надаються через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98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відділ «Центр надання адміністративних послуг» Саф'янівської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86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uk-UA" w:eastAsia="uk-UA" w:bidi="uk-UA"/>
        </w:rPr>
        <w:t>сільської ради Ізмаїльського району Одеської області</w:t>
      </w:r>
    </w:p>
    <w:tbl>
      <w:tblPr>
        <w:tblOverlap w:val="never"/>
        <w:jc w:val="left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84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№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Код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послуги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Найменування адміністративної послуги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Правові підстави для надання адміністративної послуги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актів цивільного стану *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01-01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шлюбу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актів цивільного стану»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01-02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розірвання шлюбу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актів цивільного стану»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01-03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зміни імені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актів цивільного стану»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01-04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смерті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актів цивільного стану»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01-05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витягу з Державного реєстру актів цивільного стану громадян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актів цивільного стану»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01-06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змін до актових записів цивільного стану, їх поновлення та анулювання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актів цивільного стану»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Комплексна послуга «єМалятко»: **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02-07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народження та визначення походження дитини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актів цивільного стану»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02-07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місця проживання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02-07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допомоги при народженні дитини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допомогу сім'ям з дітьми»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02-07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допомоги на дітей, які виховуються у багатодітних сім'ях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охорону дитинства»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02-07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відомостей про дитину до Реєстру пацієнтів, що ведеться у центральній базі даних електронної системи охорони здоров'я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державні фінансові гарантії медичного обслуговування населення»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02-07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у Державному реєстрі фізичних осіб - платників податків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Податковий кодекс України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02-07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посвідчень батьків багатодітної сім'ї та дитини з багатодітної сім'ї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охорону дитинства»</w:t>
            </w:r>
          </w:p>
        </w:tc>
      </w:tr>
      <w:tr>
        <w:trPr>
          <w:trHeight w:val="57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02-07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визначення належності новонародженої дитини до громадянства України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громадянство України»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left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222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02-07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внесення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інформації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про новонароджену дитину до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Єдиного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державного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демографічного реєстру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присвоєнням унікального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номера запису в ньому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02-08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надання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одноразової натуральної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допомоги «пакунок малюка» за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місцем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проживання або перебування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її отримувача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допомогу сім'ям з дітьми»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02-09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грошової компенсації вартості одноразової натуральної допомоги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«пакунок малюка»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допомогу сім'ям з дітьми»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Паспортні послуги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03-08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і видача паспорта громадянина України з безконтактним електронним носієм вперше після досягнення 14-річного віку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</w:t>
            </w:r>
          </w:p>
        </w:tc>
      </w:tr>
      <w:tr>
        <w:trPr>
          <w:trHeight w:val="22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03-09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і видача паспорта громадянина України з безконтактним електронним носієм вперше особі, яка звертається за оформленням паспорта після досягнення 18-річного віку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</w:t>
            </w:r>
          </w:p>
        </w:tc>
      </w:tr>
      <w:tr>
        <w:trPr>
          <w:trHeight w:val="22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03-10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і видача паспорта громадянина України з безконтактним електронним носієм особі, яка набула громадянства України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</w:t>
            </w:r>
          </w:p>
        </w:tc>
      </w:tr>
      <w:tr>
        <w:trPr>
          <w:trHeight w:val="416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03-11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(у формі картки) у зв'язку: зі зміною інформації, внесеної до паспорта (крім додаткової змінної інформації); отримання реєстраційного номера облікової картки платника податків з державного реєстру фізичних осіб — платників податків (РНОКПП) або повідомлення про відмову від прийняття зазначеного номера (за бажанням); виявлення помилки в інформації, внесеній до паспорта; закінчення строку дії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5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паспорта; непридатності паспорта для подальшого використання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08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03-12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зразка 1994 року (у формі книжечки) у зв'язку: зі зміною інформації, внесеної до паспорта (прізвища, імені, по батькові, дати народження, місця народження); виявлення помилки в інформації, внесеної до паспорта; непридатності паспорта для подальшого використання; 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фотокарток; у разі обміну паспорта громадянина України зразка 1994 року на паспорт громадянина України з безконтактним електронним носієм (за бажанням)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Постанова Верховної Ради України від 26 червня 1992 року 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en-US" w:bidi="en-US"/>
              </w:rPr>
              <w:t xml:space="preserve">2503-XII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затвердження положень про паспорт громадянина України та про паспорт громадянина України для виїзду за кордон»</w:t>
            </w:r>
          </w:p>
        </w:tc>
      </w:tr>
      <w:tr>
        <w:trPr>
          <w:trHeight w:val="27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03-13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- платників податків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статус», Податковий кодекс України</w:t>
            </w:r>
          </w:p>
        </w:tc>
      </w:tr>
      <w:tr>
        <w:trPr>
          <w:trHeight w:val="249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03-14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2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Постанова Верховної Ради України від 26 червня 1992 року 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en-US" w:bidi="en-US"/>
              </w:rPr>
              <w:t xml:space="preserve">2503-XII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«Про затвердження положень про паспорт громадянина України та про паспорт громадянина України для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виїзду за кордон»</w:t>
            </w:r>
          </w:p>
        </w:tc>
      </w:tr>
      <w:tr>
        <w:trPr>
          <w:trHeight w:val="22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03-15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і видача паспорта громадянина України для виїзду за кордон з безконтактним електронним носієм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</w:t>
            </w:r>
          </w:p>
        </w:tc>
      </w:tr>
      <w:tr>
        <w:trPr>
          <w:trHeight w:val="112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03-16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Оформлення і видача паспорта громадянина України для виїзду за кордон з безконтактним електронним носієм замість втраченого або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Єдиний державний демографічний реєстр та документи, що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11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викраденого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підтверджують громадянство України, посвідчують особу чи її спеціальний статус»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Реєстрація/зняття з реєстрації ***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04-17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місця проживання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11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04-18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Зняття з реєстрації місця проживання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04-19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про зняття з реєстрації місця проживання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04-20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місця перебування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122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04-21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про реєстрацію місця проживання або місця перебування особи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речових прав на нерухоме майно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05-22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права власності на нерухоме майно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05-23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іншого (відмінного від права власності) речового права на нерухоме майно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05-24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обтяжень речових прав на нерухоме майно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05-25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Взяття на облік безхазяйного нерухомого майна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05-26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змін до записів Державного реєстру речових прав на нерухоме майно та їх обтяжень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05-27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Заборона вчинення реєстраційних дій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>
        <w:trPr>
          <w:trHeight w:val="57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28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05-28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Скасування запису Державного реєстру речових прав на нерухоме майно,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11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скасування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державної реєстрації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речових прав на нерухоме майно та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їх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обтяжень, скасування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рішення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державного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реєстратора (за рішенням суду)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речових прав на нерухоме майно та їх обтяжень»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05-29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юридичних осіб, фізичних осіб-підприємців.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юридичної особи (у тому числі громадського формування)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249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 юридичну особу ( у тому числі громадське формування), що містяться в єдиному державному реєстрі юридичних осіб, фізичних осіб-підприємців та громадських формувань, у тому числі змін до установчих документів юридичної особи (у тому числі громадського формування)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переходу юридичної особи з модельного статуту на діяльність на підставі установчого документа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переходу юридичної особи на діяльність на підставі модельного статуту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22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включення відомостей про юридичну особу (у тому числі громадське формування), зареєстровану до 1 липня 2004., відомості про яку не містяться в Єдиному державному реєстрі юридичних осіб, фізичних осіб- підприємців та громадських формувань.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рішення про виділ юридичної особи (у тому числі громадського формування)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рішення про відміну рішення про припинення юридичної особи ( у тому числі громадського формування)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85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06-37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зміни складу комісії з припинення (комісії з реорганізації, ліквідаційної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5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комісії)голови комісії або ліквідатора (у тому числі громадського формування)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 формувань»</w:t>
            </w:r>
          </w:p>
        </w:tc>
      </w:tr>
      <w:tr>
        <w:trPr>
          <w:trHeight w:val="161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юридичної особи (у тому числі громадського формування) в результаті її ліквідації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юридичної особи (у тому числі громадського формування) в результаті її ліквідації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створення відокремленого підрозділу юридичної особи (у тому числі громадського формування)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94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 відокремлений підрозділ юридичної особи (у тому числі громадського формування), що містяться в Єдиному державному реєстрі юридичних осіб, фізичних осіб-підприємців та громадських формувань.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відокремленого підрозділу юридичної особи (у тому числі громадського формування)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фізичної особи- підприємця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93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включення відомостей про фізичну особу- підприємця, зареєстровану до 1 липня 2004 р., відомості про яку не містяться в Єдиному державному реєстрі юридичних осіб, фізичних осіб- підприємців та громадських формувань.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 фізичну особу-підприємця, що містяться в Єдиному державному реєстрі юридичних осіб, фізичних осіб- підприємців та громадських формувань.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підприємницької діяльності фізичної особи-підприємця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>
        <w:trPr>
          <w:trHeight w:val="85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47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06-47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громадського об'єднання, що не має статусу юридичної особи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5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осіб - підприємців та громадських формувань</w:t>
            </w:r>
          </w:p>
        </w:tc>
      </w:tr>
      <w:tr>
        <w:trPr>
          <w:trHeight w:val="16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Державна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реєстрація змін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відомостей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про громадське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об'єднання,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що не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має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статусу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юридичної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особи, що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містяться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в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Єдиному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державному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реєстрі юридичних осіб, фізичних осіб - підприємців та громадських формувань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</w:t>
            </w:r>
          </w:p>
        </w:tc>
      </w:tr>
      <w:tr>
        <w:trPr>
          <w:trHeight w:val="249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змін до відомостей про громадське об'єднання, що не має статусу юридичної особи, що містяться в Єдиному державному реєстрі юридичних осіб, фізичних осіб- підприємців та громадських формувань, у зв'язку із зупиненням (припиненням) членства в громадському об'єднанні , що не має статусу юридичної особи.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</w:t>
            </w:r>
          </w:p>
        </w:tc>
      </w:tr>
      <w:tr>
        <w:trPr>
          <w:trHeight w:val="22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припинення громадського об'єднання, що не має статусу юридичної особи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</w:t>
            </w:r>
          </w:p>
        </w:tc>
      </w:tr>
      <w:tr>
        <w:trPr>
          <w:trHeight w:val="47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06-51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відомостей з Єдиного державного реєстру юридичних осіб, фізичних осіб-підприємців та громадських формувань (виписка з Єдиного Державного реєстру юридичних осіб, фізичних осіб- підприємців та громадських формувань у паперовій формі для проставляння апостиля, витяг з Єдиного державного реєстру юридичних осіб, фізичних- осіб підприємців та громадських формувань, копії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- підприємця.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державну реєстрацію юридичних осіб, фізичних осіб - підприємців та громадських формувань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Землеустрій та кадастр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55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07-55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до Державного земельного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11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кадастру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відомостей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землі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в межах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територій адміністративно- територіальних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одиниць з видачею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витягу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16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Внесення до Державного земельного кадастру відомостей про обмеження у використанні земель, встановлені безпосередньо законами та прийнятими відповідно до них нормативно- правовими актами, з видачею витягу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194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Виправлення технічної помилки у відомостях Державного земельного кадастру 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допущеноъ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органом, що здійснює його ведення, з видачею витягу.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 територіальних одиниць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16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Державний земельний кадастр»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про про наявність та розмір земельної частки (паю)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кодекс України</w:t>
            </w:r>
          </w:p>
        </w:tc>
      </w:tr>
      <w:tr>
        <w:trPr>
          <w:trHeight w:val="1123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66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07-66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про про наявність у Державному земельному кадастрі відомостей про одержання у власність земельної ділянки у межах норм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кодекс України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11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безоплатної приватизації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за певним видом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її цільового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призначення (використання)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Надання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довідки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осіб, які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отримали доступ до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інформації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суб'єкта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речового права у Державному земельному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кадастрі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Державний земельний кадастр»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землеустрій»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землеустрій»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оцінку земель»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07-71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висновку про погодження документації із землеустрою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Земельний кодекс України</w:t>
            </w:r>
          </w:p>
        </w:tc>
      </w:tr>
      <w:tr>
        <w:trPr>
          <w:trHeight w:val="2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Архітектурно- будівельна діяльність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08-72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містобудівних умов та обмежень забудови земельної ділянки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регулювання містобудівної діяльності»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08-73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будівельного паспорта забудови земельної ділянки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регулювання містобудівної діяльності»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08-74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декларації (внесення змін до декларації ) про готовність об'єкта до експлуатації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регулювання містобудівної діяльності»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08-75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виконання будівельних робіт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регулювання містобудівної діяльності»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08-76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сертифіката про прийняття в експлуатацію закінчених будівництвом об'єктів.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регулювання містобудівної діяльності»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Пожежна безпека та безпека життєдіяльності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09-77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декларації відповідності матеріально- технічної бази суб'єкта господарювання вимогам законодавства з питань пожежної безпеки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Кодекс цивільного захисту України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09-78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декларації відповідності матеріально-технічної бази вимогам законодавства з охорони праці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охорону праці»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09-79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виконання робіт підвищеної небезпеки та початок експлуатації (застосування) машин, механізмів, устаткування підвищеної небезпеки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охорону праці»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Екологія та Благоустрій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5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10-80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розміщення зовнішньої реклами поза межами населених пунктів Одеської області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рекламу»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5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10-81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спеціальне водокористування 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Водний кодекс України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10-82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Анулювання дозволу на спеціальне водокористування.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Водний кодекс України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10-83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висновку державної екологічної експертизи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екологічну експертизу»</w:t>
            </w: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10-84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викиди забруднюючих речовин в атмосферне повітря стаціонарними джерелами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охорону атмосферного повітря»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10-85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на здійснення операцій у сфері поводження з відходами.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України» Про відходи»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10-86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Реєстрація декларації про відходи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України» Про відходи»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Санітарно-епідеміологічне благополуччя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11-87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експлуатаційних дозволів для потужностей(об'єктів) з переробки неїстівних продокутів тваринного походження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ветеринарну медицину»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11-88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експлуатаційних дозволів для потужностей(об'єктів) з виробництва , змішування та приготування кормових добавок, преміксів і кормів.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ветеринарну медицину»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11-89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експлуатаційного дозволу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основні принципи та вимоги до безпечності та якості харчових продуктів»</w:t>
            </w:r>
          </w:p>
        </w:tc>
      </w:tr>
      <w:tr>
        <w:trPr>
          <w:trHeight w:val="2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2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Соціальний захист ****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палива»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житлово -комунальні послуги»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пільги на придбання палива, у тому числі рідкого, скрапленого балонного газу для побутових потреб»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статус ветеранів війни, гарантії їх соціального захисту», Закон України « Про охорону дитинства».</w:t>
            </w:r>
          </w:p>
        </w:tc>
      </w:tr>
      <w:tr>
        <w:trPr>
          <w:trHeight w:val="13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пільги на оплату житла, комунальних послуг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статус ветеранів війни, гарантії їх соціального захисту», Закон України « Про охорону дитинства».</w:t>
            </w:r>
          </w:p>
        </w:tc>
      </w:tr>
      <w:tr>
        <w:trPr>
          <w:trHeight w:val="16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тимчасової державної допомоги дітям, батьки яких ухиляються від сплати аліментів, не мають можливості утримувати дитину або місце їх проживання чи перебування невідоме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Сімейний кодекс України</w:t>
            </w:r>
          </w:p>
        </w:tc>
      </w:tr>
      <w:tr>
        <w:trPr>
          <w:trHeight w:val="83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одноразової винагороди жінкам, яким присвоєно почесне звання україни « Мати-героїня»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ЗаконУкраїни « Про державні нагороди України»</w:t>
            </w:r>
          </w:p>
        </w:tc>
      </w:tr>
      <w:tr>
        <w:trPr>
          <w:trHeight w:val="57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12-95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Прийняття рішення щодо надання соціальних послуг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соціальні послуги»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16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Видача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довідки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для отримання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пільг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особам 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інвалідністю, які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не мають права на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пенсію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чи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соціальну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допомогу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сонови соціальної захищеності осіб з інвалідністю в Україні»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Видача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особі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подання про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можливість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призначення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її опікуном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або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піклувальником повнолітньої недієздатної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особи або особи,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цивільна дієздатність якої обмежена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</w:p>
        </w:tc>
      </w:tr>
      <w:tr>
        <w:trPr>
          <w:trHeight w:val="580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дозволу опікуну на вчинення правочинів щодо: 1) відмови від майнових прав підопічного: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pos="25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видання письмових зобов'язань від імені підопічного;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pos="25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укладення договірів, які підлягають нотаріальному посвідченню та (або) державній реєстрації, в тому числі договорів щодо поділу або обміну житлового будинку, квартири;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pos="25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укладеня договорів щодо іншого цінного майна;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pos="25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управління нерухомим майном або майном, яке потребує постійного управління, власником якого є підопічна недієздатна особа;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pos="25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передання нерухомого майна або майна, яке потребує постійного управління, власником якого є підопічна недієздатна особа, в управління іншій особі за договором.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</w:p>
        </w:tc>
      </w:tr>
      <w:tr>
        <w:trPr>
          <w:trHeight w:val="359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Видача піклувальнику дозволу на надання згоди особі, дієздатність якої обмежена, на вчинення правочинів щодо:1) відмови від майнових прав підопічного;2) видання письмових зобов'язень від імені підопічного;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pos="25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укладення договорів, які підлягають нотаріальному посвідченню та ( або) державній реєстрації, в тому числі щодо поділу або обміну житлового будинку, квартири;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pos="25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укладення договорів щодо іншого цінного майна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Цивільний кодекс України</w:t>
            </w:r>
          </w:p>
        </w:tc>
      </w:tr>
      <w:tr>
        <w:trPr>
          <w:trHeight w:val="11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державної соціальної допомоги малозабезпеченим сім'ям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державну соціальну допомогу малозабезпеченим сім'ям»</w:t>
            </w:r>
          </w:p>
        </w:tc>
      </w:tr>
      <w:tr>
        <w:trPr>
          <w:trHeight w:val="168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12-101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державної допомоги: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pos="25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 зв'язку з вагітністю та пологами жінкам, які не застраховані в системі загальнообовьзякового державного соціального страхування;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pos="264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 народженні дитини, одноразової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 Про державну допомогу сім'ям з дітьми»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41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натуральної допомоги —пакунок малюка”;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6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 усиновленні дитини;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6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 дітей, над якими встановлено опіку чи піклування;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6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 дітей одиноким матерям;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6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одному з батьків, усиновлювачам, опікунам, піклувальникам, одному з прийомних батьків, батькам- вихователям, які доглядають за хворою дитиною, якій не встановлено інвалідність;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pos="269" w:val="left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 дітей, які виховуються у багатодітеих сімьях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охорону дитинства"</w:t>
            </w:r>
          </w:p>
        </w:tc>
      </w:tr>
      <w:tr>
        <w:trPr>
          <w:trHeight w:val="173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державної соціальної допомоги особам з інвалідністю з дитинства та дітям з інвалідністю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державну соціальну допомогу особам з інвалідністю з дитинства та дітям з інвалідністю”</w:t>
            </w:r>
          </w:p>
        </w:tc>
      </w:tr>
      <w:tr>
        <w:trPr>
          <w:trHeight w:val="155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надбавки на догляд за особами з інвалідністю з дитинства та дітьми з інвалідністю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державну соціальну допомогу особам з інвалідністю з дитинства та дітям з інвалідністю”</w:t>
            </w:r>
          </w:p>
        </w:tc>
      </w:tr>
      <w:tr>
        <w:trPr>
          <w:trHeight w:val="149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державну соціальну допомогу особам, які не мають права на пенсію, та особам з інвалідністю”</w:t>
            </w:r>
          </w:p>
        </w:tc>
      </w:tr>
      <w:tr>
        <w:trPr>
          <w:trHeight w:val="156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державної соціальної допомоги на догляд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державну соціальну допомогу особам, які не мають права на пенсію, та особам з інвалідністю”</w:t>
            </w:r>
          </w:p>
        </w:tc>
      </w:tr>
      <w:tr>
        <w:trPr>
          <w:trHeight w:val="159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компенсації за догляд фізичної особі, яка надає соціальні послуги з догляду без здійснення підприжмницької діяльності на непрофесійній основі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соціальні послуги»</w:t>
            </w:r>
          </w:p>
        </w:tc>
      </w:tr>
      <w:tr>
        <w:trPr>
          <w:trHeight w:val="16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професійній основі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соціальні послуги»</w:t>
            </w:r>
          </w:p>
        </w:tc>
      </w:tr>
      <w:tr>
        <w:trPr>
          <w:trHeight w:val="157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12-108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Надання інформації з реєстру застрахованих осіб Державного реєстру загальнообов'язкового державного соціального страхування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збір та облік єдиного внеску на загальнообов'язкове державне соціальне страхування”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113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Призначення (перерахунок)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пенсій,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надбавок,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підвищень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пенсій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загальнообов'язкове державне пенсійне страхування”</w:t>
            </w:r>
          </w:p>
        </w:tc>
      </w:tr>
      <w:tr>
        <w:trPr>
          <w:trHeight w:val="249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Призначення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тимчасової державної соціальної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допомоги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непрацюючій особі,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яка досягла загального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пенсійного віку,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але не набула права на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пенсійну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виплату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пункт 5 розділу П —Прикінцеві та перехідні положення» Закону України —Про внесення змін до деяких законодавчих актів України щодо підвищення пенсій”</w:t>
            </w:r>
          </w:p>
        </w:tc>
      </w:tr>
      <w:tr>
        <w:trPr>
          <w:trHeight w:val="120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Видача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довідок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про набутий страховий стаж,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розмір пенсії,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перебування особи на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обліку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як одержувача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пенсії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"Про загальнообов язкове державне пенсійне страхування”</w:t>
            </w:r>
          </w:p>
        </w:tc>
      </w:tr>
      <w:tr>
        <w:trPr>
          <w:trHeight w:val="22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Призначення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грошової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допомоги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особі,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яка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проживає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разом з особою 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інвалідністю 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або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en-US" w:bidi="en-US"/>
              </w:rPr>
              <w:t xml:space="preserve">II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групи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внаслідок психічного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розладу, яка за висновком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лікарсько-консультативної комісії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закладу охорони здоров'я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потребує постійного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стороннього догляду, на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догляд за нею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психіатричну допомогу”</w:t>
            </w:r>
          </w:p>
        </w:tc>
      </w:tr>
      <w:tr>
        <w:trPr>
          <w:trHeight w:val="120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одноразової грошової/матеріальної допомоги особам з інвалідністю та дітям з інвалідністю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«Про основи соціальної захищенності осіб з інвалідністю в Україні»</w:t>
            </w:r>
          </w:p>
        </w:tc>
      </w:tr>
      <w:tr>
        <w:trPr>
          <w:trHeight w:val="6845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12-114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одноразової компенсації: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9"/>
              </w:numPr>
              <w:shd w:val="clear" w:color="auto" w:fill="auto"/>
              <w:tabs>
                <w:tab w:pos="667" w:val="left"/>
              </w:tabs>
              <w:bidi w:val="0"/>
              <w:spacing w:before="0" w:after="0" w:line="276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сім'ям, які втратили годувальника із числа учасників ліквідації наслідків аварії на Чорнобильській АЕС, смерть яких пов'язана з Чорнобильською катастрофою;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9"/>
              </w:numPr>
              <w:shd w:val="clear" w:color="auto" w:fill="auto"/>
              <w:tabs>
                <w:tab w:pos="672" w:val="left"/>
              </w:tabs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дружинам (чоловікам), якщо та (той) не одружилися вдруге, померлих громадян, смерть яких пов'язана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9"/>
              </w:numPr>
              <w:shd w:val="clear" w:color="auto" w:fill="auto"/>
              <w:tabs>
                <w:tab w:pos="691" w:val="left"/>
              </w:tabs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батькам померлого учасника ліквідації наслідків аварії на Чорнобильській АЕС, смерть якого пов'язана з Чорнобильською катастрофою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26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статус і соціальний захист громадян, які постраждали внаслідок Чорнобильської катастрофи”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387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Призначення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компенсацій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та допомоги учасникам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ліквідації наслідків аварії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на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Чорнобильській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АЕС, громадянам,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які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брали участь 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ліквідації інших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ядерних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аварій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та випробувань, 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військових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навчаннях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застосуванням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ядерної зброї,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складанні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ядерних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зарядів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та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здійсненні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на них регламентних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робіт віднесеним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категорії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1, або 2, або 3,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потерпілим від Чорнобильської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катастрофи,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віднесеним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категорії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1, або 2, або 3,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потерпілим від радіаційного опромінення, віднесеним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категорії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1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або 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статус і соціальний захист громадян, які постраждали внаслідок Чорнобильської катастрофи"</w:t>
            </w:r>
          </w:p>
        </w:tc>
      </w:tr>
      <w:tr>
        <w:trPr>
          <w:trHeight w:val="16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компенсацій та допомоги дітям, які потерпіли від Чорнобильської катастрофи, дітям з інвалідністю, інвалідність яких пов'язана з Чорнобильською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катастрофою, та їхнім батькам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статус і соціальний захист громадян, які постраждали внаслідок Чорнобильської катастрофи"</w:t>
            </w:r>
          </w:p>
        </w:tc>
      </w:tr>
      <w:tr>
        <w:trPr>
          <w:trHeight w:val="970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12-117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Призначення грошової компенсації: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1"/>
              </w:numPr>
              <w:shd w:val="clear" w:color="auto" w:fill="auto"/>
              <w:tabs>
                <w:tab w:pos="667" w:val="left"/>
              </w:tabs>
              <w:bidi w:val="0"/>
              <w:spacing w:before="0" w:after="0" w:line="276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вартості проїзду до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санаторно</w:t>
              <w:softHyphen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курортного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закладу і назад особам з інвалідністю внаслідок війни та прирівняним до них особам;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1"/>
              </w:numPr>
              <w:shd w:val="clear" w:color="auto" w:fill="auto"/>
              <w:tabs>
                <w:tab w:pos="672" w:val="left"/>
              </w:tabs>
              <w:bidi w:val="0"/>
              <w:spacing w:before="0" w:after="0" w:line="276" w:lineRule="auto"/>
              <w:ind w:left="140" w:right="0" w:hanging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особам з інвалідністю замість санаторно-курортної путівки;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1"/>
              </w:numPr>
              <w:shd w:val="clear" w:color="auto" w:fill="auto"/>
              <w:tabs>
                <w:tab w:pos="701" w:val="left"/>
              </w:tabs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вартості проїзду до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санаторно</w:t>
              <w:softHyphen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курортного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закладу (відділення спального профілю) і назад особам, які супроводжують осіб з інвалідністю І та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en-US" w:bidi="en-US"/>
              </w:rPr>
              <w:t xml:space="preserve">II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групи з наслідками травм і захворюваннями хребта та спинного мозку;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1"/>
              </w:numPr>
              <w:shd w:val="clear" w:color="auto" w:fill="auto"/>
              <w:tabs>
                <w:tab w:pos="667" w:val="left"/>
              </w:tabs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вартості самостійного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санаторно</w:t>
              <w:softHyphen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курортного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 лікування осіб з інвалідністю;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1"/>
              </w:numPr>
              <w:shd w:val="clear" w:color="auto" w:fill="auto"/>
              <w:tabs>
                <w:tab w:pos="667" w:val="left"/>
              </w:tabs>
              <w:bidi w:val="0"/>
              <w:spacing w:before="0" w:after="620" w:line="276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замість санаторно-курортної путівки громадянам, які постраждали внаслідок Чорнобильської катастрофи;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1"/>
              </w:numPr>
              <w:shd w:val="clear" w:color="auto" w:fill="auto"/>
              <w:tabs>
                <w:tab w:pos="672" w:val="left"/>
              </w:tabs>
              <w:bidi w:val="0"/>
              <w:spacing w:before="0" w:after="0" w:line="276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особам з інвалідністю на бензин, ремонт і технічне обслуговування автомобілів та на транспортне обслуговування;</w:t>
            </w:r>
          </w:p>
          <w:p>
            <w:pPr>
              <w:pStyle w:val="Style7"/>
              <w:keepNext w:val="0"/>
              <w:keepLines w:val="0"/>
              <w:widowControl w:val="0"/>
              <w:numPr>
                <w:ilvl w:val="0"/>
                <w:numId w:val="11"/>
              </w:numPr>
              <w:shd w:val="clear" w:color="auto" w:fill="auto"/>
              <w:tabs>
                <w:tab w:pos="667" w:val="left"/>
              </w:tabs>
              <w:bidi w:val="0"/>
              <w:spacing w:before="0" w:after="0" w:line="276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замість санаторно-курортної путівки особам з інвалідністю внаслідок війни та прирівняним до них особам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5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статус ветеранів війни, гарантії їх соціального захисту"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27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реабілітацію осіб з інвалідністю в Україні"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2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статус і соціальний захист громадян, які постраждали внаслідок Чорнобильської катастрофи "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5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реабілітацію осіб з інвалідністю в Україні"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статус ветеранів війни, гарантії їх соціального захисту"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16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Видача направлення до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реабілітаційних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установ особам 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інвалідністю, дітям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інвалідністю, дітям віком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 трьох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років, які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належать до групи ризику щодо отримання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інвалідності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реабілітацію осіб з інвалідністю в Україні”</w:t>
            </w:r>
          </w:p>
        </w:tc>
      </w:tr>
      <w:tr>
        <w:trPr>
          <w:trHeight w:val="22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Видача направлення на проходження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обласної, центральної міської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у мм.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Києві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та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Севастополі медико-соціальної експертної комісії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для взяття на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облік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для забезпечення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осіб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інвалідністю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та законних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представників дітей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інвалідністю автомобілем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реабілітацію осіб з інвалідністю в Україні”</w:t>
            </w:r>
          </w:p>
        </w:tc>
      </w:tr>
      <w:tr>
        <w:trPr>
          <w:trHeight w:val="13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Видача направлення на забезпечення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технічними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та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іншими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засобами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реабілітації осіб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інвалідністю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та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дітей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інвалідністю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реабілітацію осіб з інвалідністю в Україні”</w:t>
            </w:r>
          </w:p>
        </w:tc>
      </w:tr>
      <w:tr>
        <w:trPr>
          <w:trHeight w:val="128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Установлення статусу, видача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посвідчень: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1) батькам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багатодітної сім'ї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та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дитині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багатодітної сім'ї;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охорону дитинства”</w:t>
            </w:r>
          </w:p>
        </w:tc>
      </w:tr>
      <w:tr>
        <w:trPr>
          <w:trHeight w:val="2942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30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2) особам,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які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постраждали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внлідок Чорнобильської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катастрофи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(відповідно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 визначених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категорій);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30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3) членам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сім'ї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загиблого померлого) ветерана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війни;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30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4) учасникам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війни;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100" w:after="10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статус і соціальний захист громадян, які постраждали внаслідок Чорнобильської катастрофи"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статус ветеранів війни, гарантії їх соціального захисту”</w:t>
            </w:r>
          </w:p>
        </w:tc>
      </w:tr>
      <w:tr>
        <w:trPr>
          <w:trHeight w:val="859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5) особам 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інвалідністю внаслідок війни;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10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640" w:line="27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6) особам 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інвалідністю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та особам 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інвалідністю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з дитинства;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126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7) ветеранам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праці;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8) жертвам нацистських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переслідувань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100" w:after="10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державну соціальну допомогу особам з інвалідністю з дитинства та дітям з інвалідністю”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основні засади соціального захисту ветеранів праці та інших громадян охилого віку в Україні”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жертви нацистських переслідувань”</w:t>
            </w:r>
          </w:p>
        </w:tc>
      </w:tr>
      <w:tr>
        <w:trPr>
          <w:trHeight w:val="57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12-122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Взяття на облік для забезпечення санаторно-курортним лікуванням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965"/>
        <w:gridCol w:w="1277"/>
        <w:gridCol w:w="4478"/>
        <w:gridCol w:w="3043"/>
      </w:tblGrid>
      <w:tr>
        <w:trPr>
          <w:trHeight w:val="60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(путівками):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1)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осіб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інвалідністю;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Закон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України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—Про</w:t>
            </w:r>
          </w:p>
        </w:tc>
      </w:tr>
      <w:tr>
        <w:trPr>
          <w:trHeight w:val="2726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2)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ветеранів війни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та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осіб,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на яких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поширюється дія Законів України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«Про статус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ветеранів війни, гарантії їх соціального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захисту» та «Про жертви нацистських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переслідувань»;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основи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соціальної захищеності осіб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з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інвалідністю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в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Україні”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жертви нацистських переслідувань”, Закон України —Про статус ветеранів війни, гарантії їх соціального захисту”</w:t>
            </w:r>
          </w:p>
        </w:tc>
      </w:tr>
      <w:tr>
        <w:trPr>
          <w:trHeight w:val="1838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tabs>
                <w:tab w:pos="798" w:val="left"/>
              </w:tabs>
              <w:bidi w:val="0"/>
              <w:spacing w:before="12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3)</w:t>
              <w:tab/>
              <w:t xml:space="preserve">громадян,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які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постраждали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внаслідок Чорнобильської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катастрофи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статус і соціальний захист громадян, які постраждали внаслідок Чорнобильської катастрофи”</w:t>
            </w:r>
          </w:p>
        </w:tc>
      </w:tr>
      <w:tr>
        <w:trPr>
          <w:trHeight w:val="147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12-123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Призначення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щомісячної адресної грошової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допомоги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внутрішньо переміщеним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 xml:space="preserve">особам для покриття витрат на проживання, в тому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 xml:space="preserve">числі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ru-RU" w:eastAsia="ru-RU" w:bidi="ru-RU"/>
              </w:rPr>
              <w:t>на оплату житлово-комунальних послуг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uk-UA" w:eastAsia="uk-UA" w:bidi="uk-UA"/>
              </w:rPr>
              <w:t>Закон України —Про забезпечення прав і свобод інутрішньо переміщених осіб".</w:t>
            </w:r>
          </w:p>
        </w:tc>
      </w:tr>
    </w:tbl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254" w:lineRule="auto"/>
        <w:ind w:left="82" w:right="0" w:firstLine="0"/>
        <w:jc w:val="left"/>
        <w:rPr>
          <w:sz w:val="18"/>
          <w:szCs w:val="18"/>
        </w:rPr>
      </w:pPr>
      <w:r>
        <w:rPr>
          <w:b w:val="0"/>
          <w:bCs w:val="0"/>
          <w:color w:val="000000"/>
          <w:spacing w:val="0"/>
          <w:w w:val="100"/>
          <w:position w:val="0"/>
          <w:sz w:val="18"/>
          <w:szCs w:val="18"/>
          <w:shd w:val="clear" w:color="auto" w:fill="auto"/>
          <w:lang w:val="uk-UA" w:eastAsia="uk-UA" w:bidi="uk-UA"/>
        </w:rPr>
        <w:t>Примітка</w:t>
      </w:r>
    </w:p>
    <w:p>
      <w:pPr>
        <w:widowControl w:val="0"/>
        <w:spacing w:after="279" w:line="1" w:lineRule="exact"/>
      </w:pPr>
    </w:p>
    <w:p>
      <w:pPr>
        <w:pStyle w:val="Style11"/>
        <w:keepNext w:val="0"/>
        <w:keepLines w:val="0"/>
        <w:widowControl w:val="0"/>
        <w:shd w:val="clear" w:color="auto" w:fill="auto"/>
        <w:bidi w:val="0"/>
        <w:spacing w:before="0" w:after="400" w:line="228" w:lineRule="auto"/>
        <w:ind w:left="0" w:right="0" w:firstLine="160"/>
        <w:jc w:val="left"/>
      </w:pPr>
      <w:r>
        <w:rPr>
          <w:b w:val="0"/>
          <w:bCs w:val="0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* Послуги будуть надаватися з моменту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підписання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Угоди про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співробітництво між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Головним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територіальним управлінням юстиції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Одеській області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та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Саф'янівською сільською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радою та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підключення адміністраторів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до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реєстру актів цивільного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стану;</w:t>
      </w:r>
    </w:p>
    <w:p>
      <w:pPr>
        <w:pStyle w:val="Style11"/>
        <w:keepNext w:val="0"/>
        <w:keepLines w:val="0"/>
        <w:widowControl w:val="0"/>
        <w:shd w:val="clear" w:color="auto" w:fill="auto"/>
        <w:bidi w:val="0"/>
        <w:spacing w:before="0" w:after="20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-** Послуги будуть надаватися з моменту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підписання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Угоди про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співробітництво між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Головним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територіальним управлінням юстиції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Одеській області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та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Саф'янівською сільською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радою та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підключення адміністраторів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до порталу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>«ДІЯ»;</w:t>
      </w:r>
    </w:p>
    <w:p>
      <w:pPr>
        <w:pStyle w:val="Style11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-*** Послуги будуть надаватися з моменту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підключення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уповноважених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осіб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до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Реєстру територіальної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громади;</w:t>
      </w:r>
    </w:p>
    <w:p>
      <w:pPr>
        <w:pStyle w:val="Style11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**** Послуги будуть надаватися з моменту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підключення адміністраторів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до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реєстру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 </w:t>
      </w:r>
      <w:r>
        <w:rPr>
          <w:color w:val="000000"/>
          <w:spacing w:val="0"/>
          <w:w w:val="100"/>
          <w:position w:val="0"/>
          <w:shd w:val="clear" w:color="auto" w:fill="auto"/>
          <w:lang w:val="uk-UA" w:eastAsia="uk-UA" w:bidi="uk-UA"/>
        </w:rPr>
        <w:t xml:space="preserve">Соціальна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громада».</w:t>
      </w:r>
    </w:p>
    <w:sectPr>
      <w:footnotePr>
        <w:pos w:val="pageBottom"/>
        <w:numFmt w:val="decimal"/>
        <w:numRestart w:val="continuous"/>
      </w:footnotePr>
      <w:pgSz w:w="11900" w:h="16840"/>
      <w:pgMar w:top="709" w:left="249" w:right="1018" w:bottom="546" w:header="281" w:footer="118" w:gutter="0"/>
      <w:pgNumType w:start="1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2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abstractNum w:abstractNumId="2">
    <w:multiLevelType w:val="multilevel"/>
    <w:lvl w:ilvl="0">
      <w:start w:val="3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abstractNum w:abstractNumId="4">
    <w:multiLevelType w:val="multilevel"/>
    <w:lvl w:ilvl="0">
      <w:start w:val="1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abstractNum w:abstractNumId="6">
    <w:multiLevelType w:val="multilevel"/>
    <w:lvl w:ilvl="0">
      <w:start w:val="3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abstractNum w:abstractNumId="8">
    <w:multiLevelType w:val="multilevel"/>
    <w:lvl w:ilvl="0">
      <w:start w:val="1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abstractNum w:abstractNumId="10">
    <w:multiLevelType w:val="multilevel"/>
    <w:lvl w:ilvl="0">
      <w:start w:val="1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uk-UA" w:eastAsia="uk-UA" w:bidi="uk-UA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uk-UA" w:eastAsia="uk-UA" w:bidi="uk-UA"/>
    </w:rPr>
  </w:style>
  <w:style w:type="character" w:customStyle="1" w:styleId="CharStyle3">
    <w:name w:val="Основной текст (2)_"/>
    <w:basedOn w:val="DefaultParagraphFont"/>
    <w:link w:val="Styl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harStyle6">
    <w:name w:val="Подпись к таблице_"/>
    <w:basedOn w:val="DefaultParagraphFont"/>
    <w:link w:val="Styl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harStyle8">
    <w:name w:val="Другое_"/>
    <w:basedOn w:val="DefaultParagraphFont"/>
    <w:link w:val="Styl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harStyle12">
    <w:name w:val="Основной текст_"/>
    <w:basedOn w:val="DefaultParagraphFont"/>
    <w:link w:val="Style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Style2">
    <w:name w:val="Основной текст (2)"/>
    <w:basedOn w:val="Normal"/>
    <w:link w:val="CharStyle3"/>
    <w:pPr>
      <w:widowControl w:val="0"/>
      <w:shd w:val="clear" w:color="auto" w:fill="FFFFFF"/>
      <w:spacing w:after="60"/>
      <w:ind w:left="4720" w:firstLine="12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Style5">
    <w:name w:val="Подпись к таблице"/>
    <w:basedOn w:val="Normal"/>
    <w:link w:val="CharStyle6"/>
    <w:pPr>
      <w:widowControl w:val="0"/>
      <w:shd w:val="clear" w:color="auto" w:fill="FFFFFF"/>
      <w:spacing w:line="247" w:lineRule="auto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Style7">
    <w:name w:val="Другое"/>
    <w:basedOn w:val="Normal"/>
    <w:link w:val="CharStyle8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yle11">
    <w:name w:val="Основной текст"/>
    <w:basedOn w:val="Normal"/>
    <w:link w:val="CharStyle12"/>
    <w:pPr>
      <w:widowControl w:val="0"/>
      <w:shd w:val="clear" w:color="auto" w:fill="FFFFFF"/>
      <w:spacing w:after="340"/>
      <w:ind w:firstLine="8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user</dc:creator>
  <cp:keywords/>
</cp:coreProperties>
</file>